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widowControl w:val="0"/>
        <w:ind w:firstLine="0" w:left="0"/>
        <w:jc w:val="left"/>
        <w:rPr>
          <w:rFonts w:ascii="Tahoma" w:hAnsi="Tahoma"/>
          <w:b w:val="0"/>
          <w:i w:val="0"/>
          <w:strike w:val="0"/>
          <w:sz w:val="20"/>
          <w:u w:val="none"/>
        </w:rPr>
      </w:pPr>
      <w:r>
        <w:rPr>
          <w:rFonts w:ascii="Tahoma" w:hAnsi="Tahoma"/>
          <w:b w:val="0"/>
          <w:i w:val="0"/>
          <w:strike w:val="0"/>
          <w:sz w:val="20"/>
          <w:u w:val="none"/>
        </w:rPr>
        <w:t xml:space="preserve">Документ предоставлен </w:t>
      </w:r>
      <w:r>
        <w:rPr>
          <w:rFonts w:ascii="Tahoma" w:hAnsi="Tahoma"/>
          <w:b w:val="0"/>
          <w:i w:val="0"/>
          <w:strike w:val="0"/>
          <w:color w:val="0000FF"/>
          <w:sz w:val="20"/>
          <w:u w:val="none"/>
        </w:rPr>
        <w:fldChar w:fldCharType="begin"/>
      </w:r>
      <w:r>
        <w:rPr>
          <w:rFonts w:ascii="Tahoma" w:hAnsi="Tahoma"/>
          <w:b w:val="0"/>
          <w:i w:val="0"/>
          <w:strike w:val="0"/>
          <w:color w:val="0000FF"/>
          <w:sz w:val="20"/>
          <w:u w:val="none"/>
        </w:rPr>
        <w:instrText>HYPERLINK "https://www.consultant.ru"</w:instrText>
      </w:r>
      <w:r>
        <w:rPr>
          <w:rFonts w:ascii="Tahoma" w:hAnsi="Tahoma"/>
          <w:b w:val="0"/>
          <w:i w:val="0"/>
          <w:strike w:val="0"/>
          <w:color w:val="0000FF"/>
          <w:sz w:val="20"/>
          <w:u w:val="none"/>
        </w:rPr>
        <w:fldChar w:fldCharType="separate"/>
      </w:r>
      <w:r>
        <w:rPr>
          <w:rFonts w:ascii="Tahoma" w:hAnsi="Tahoma"/>
          <w:b w:val="0"/>
          <w:i w:val="0"/>
          <w:strike w:val="0"/>
          <w:color w:val="0000FF"/>
          <w:sz w:val="20"/>
          <w:u w:val="none"/>
        </w:rPr>
        <w:t>КонсультантПлюс</w:t>
      </w:r>
      <w:r>
        <w:rPr>
          <w:rFonts w:ascii="Tahoma" w:hAnsi="Tahoma"/>
          <w:b w:val="0"/>
          <w:i w:val="0"/>
          <w:strike w:val="0"/>
          <w:color w:val="0000FF"/>
          <w:sz w:val="20"/>
          <w:u w:val="none"/>
        </w:rPr>
        <w:fldChar w:fldCharType="end"/>
      </w:r>
      <w:r>
        <w:rPr>
          <w:rFonts w:ascii="Tahoma" w:hAnsi="Tahoma"/>
          <w:b w:val="0"/>
          <w:i w:val="0"/>
          <w:strike w:val="0"/>
          <w:sz w:val="20"/>
          <w:u w:val="none"/>
        </w:rPr>
        <w:br/>
      </w:r>
    </w:p>
    <w:p w14:paraId="02000000">
      <w:pPr>
        <w:widowControl w:val="0"/>
        <w:ind w:firstLine="0" w:left="0"/>
        <w:jc w:val="both"/>
        <w:outlineLvl w:val="0"/>
        <w:rPr>
          <w:rFonts w:ascii="Arial" w:hAnsi="Arial"/>
          <w:b w:val="0"/>
          <w:i w:val="0"/>
          <w:strike w:val="0"/>
          <w:sz w:val="16"/>
          <w:u w:val="none"/>
        </w:rPr>
      </w:pPr>
    </w:p>
    <w:tbl>
      <w:tblPr>
        <w:tblStyle w:val="Style_1"/>
        <w:tblCellMar>
          <w:left w:type="dxa" w:w="0"/>
          <w:right w:type="dxa" w:w="0"/>
        </w:tblCellMar>
      </w:tblPr>
      <w:tblGrid>
        <w:gridCol w:w="4677"/>
        <w:gridCol w:w="4677"/>
      </w:tblGrid>
      <w:tr>
        <w:tc>
          <w:tcPr>
            <w:tcW w:type="dxa" w:w="4677"/>
            <w:tcMar>
              <w:left w:type="dxa" w:w="0"/>
              <w:right w:type="dxa" w:w="0"/>
            </w:tcMar>
          </w:tcPr>
          <w:p w14:paraId="03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16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декабря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2004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года</w:t>
            </w:r>
          </w:p>
        </w:tc>
        <w:tc>
          <w:tcPr>
            <w:tcW w:type="dxa" w:w="4677"/>
            <w:tcMar>
              <w:left w:type="dxa" w:w="0"/>
              <w:right w:type="dxa" w:w="0"/>
            </w:tcMar>
          </w:tcPr>
          <w:p w14:paraId="04000000">
            <w:pPr>
              <w:widowControl w:val="0"/>
              <w:ind w:firstLine="0" w:left="0"/>
              <w:jc w:val="right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N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  <w:t>254-ОЗ</w:t>
            </w:r>
          </w:p>
        </w:tc>
      </w:tr>
    </w:tbl>
    <w:p w14:paraId="05000000">
      <w:pPr>
        <w:widowControl w:val="0"/>
        <w:spacing w:after="100" w:before="100"/>
        <w:ind w:firstLine="0" w:left="0"/>
        <w:jc w:val="both"/>
        <w:rPr>
          <w:rFonts w:ascii="Arial" w:hAnsi="Arial"/>
          <w:b w:val="0"/>
          <w:i w:val="0"/>
          <w:strike w:val="0"/>
          <w:sz w:val="2"/>
          <w:u w:val="none"/>
        </w:rPr>
      </w:pPr>
    </w:p>
    <w:p w14:paraId="06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07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ТОМСКАЯ ОБЛАСТЬ</w:t>
      </w:r>
    </w:p>
    <w:p w14:paraId="08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9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ЗАКОН</w:t>
      </w:r>
    </w:p>
    <w:p w14:paraId="0A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B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О МЕРАХ СОЦИАЛЬНОЙ ПОДДЕРЖКИ ОТДЕЛЬНЫХ</w:t>
      </w:r>
    </w:p>
    <w:p w14:paraId="0C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КАТЕГОРИЙ ГРАЖДАН, ПРОЖИВАЮЩИХ НА</w:t>
      </w:r>
    </w:p>
    <w:p w14:paraId="0D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ТЕРРИТОРИИ ТОМСКОЙ ОБЛАСТИ</w:t>
      </w:r>
    </w:p>
    <w:p w14:paraId="0E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0F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Принят</w:t>
      </w:r>
    </w:p>
    <w:p w14:paraId="10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постановлением</w:t>
      </w:r>
    </w:p>
    <w:p w14:paraId="11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Государственной Думы</w:t>
      </w:r>
    </w:p>
    <w:p w14:paraId="12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Томской области</w:t>
      </w:r>
    </w:p>
    <w:p w14:paraId="13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от 02.12.2004 N 1576</w:t>
      </w:r>
    </w:p>
    <w:p w14:paraId="14000000">
      <w:pPr>
        <w:widowControl w:val="0"/>
        <w:ind/>
        <w:rPr>
          <w:rFonts w:ascii="Arial" w:hAnsi="Arial"/>
        </w:rPr>
      </w:pPr>
    </w:p>
    <w:tbl>
      <w:tblPr>
        <w:tblStyle w:val="Style_1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5000000">
            <w:pPr>
              <w:widowControl w:val="0"/>
              <w:ind/>
              <w:rPr>
                <w:rFonts w:ascii="Arial" w:hAnsi="Arial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6000000">
            <w:pPr>
              <w:widowControl w:val="0"/>
              <w:ind/>
              <w:rPr>
                <w:rFonts w:ascii="Arial" w:hAnsi="Arial"/>
              </w:rPr>
            </w:pPr>
          </w:p>
        </w:tc>
        <w:tc>
          <w:tcPr>
            <w:tcW w:type="dxa" w:w="9069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17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Список изменяющих документов</w:t>
            </w:r>
          </w:p>
          <w:p w14:paraId="18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(в ред. Законов Томской области</w:t>
            </w:r>
          </w:p>
          <w:p w14:paraId="19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от 20.01.2005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"consultantplus://offline/ref=E4DAE44208943FDB2142810BAA54F6578D8C70EEC833C35F93D7656C1A3F7863538F1CD2D2939390E79EDC96AC963A6D359A1D08295493DCE3E371NAJAK"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15-ОЗ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16.08.2005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"consultantplus://offline/ref=E4DAE44208943FDB2142810BAA54F6578D8C70EEC830C75F92D7656C1A3F7863538F1CD2D2939390E79EDC96AC963A6D359A1D08295493DCE3E371NAJAK"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136-ОЗ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06.12.2005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"consultantplus://offline/ref=E4DAE44208943FDB2142810BAA54F6578D8C70EEC83EC3549DD7656C1A3F7863538F1CD2D2939390E79EDC98AC963A6D359A1D08295493DCE3E371NAJAK"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219-ОЗ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,</w:t>
            </w:r>
          </w:p>
          <w:p w14:paraId="1A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от 10.04.2006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"consultantplus://offline/ref=E4DAE44208943FDB2142810BAA54F6578D8C70EECB36C45492D7656C1A3F7863538F1CD2D2939390E79EDC96AC963A6D359A1D08295493DCE3E371NAJAK"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56-ОЗ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12.12.2006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"consultantplus://offline/ref=E4DAE44208943FDB2142810BAA54F6578D8C70EECE34C0589CD7656C1A3F7863538F1CD2D2939390E79EDC96AC963A6D359A1D08295493DCE3E371NAJAK"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312-ОЗ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11.01.2007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"consultantplus://offline/ref=E4DAE44208943FDB2142810BAA54F6578D8C70EECB32C05993D7656C1A3F7863538F1CD2D2939390E79EDC96AC963A6D359A1D08295493DCE3E371NAJAK"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17-ОЗ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,</w:t>
            </w:r>
          </w:p>
          <w:p w14:paraId="1B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от 17.12.2007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"consultantplus://offline/ref=E4DAE44208943FDB2142810BAA54F6578D8C70EECB3FC15895D7656C1A3F7863538F1CD2D2939390E79EDC96AC963A6D359A1D08295493DCE3E371NAJAK"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284-ОЗ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04.04.2008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"consultantplus://offline/ref=E4DAE44208943FDB2142810BAA54F6578D8C70EECA37C25A91D7656C1A3F7863538F1CD2D2939390E79EDC96AC963A6D359A1D08295493DCE3E371NAJAK"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58-ОЗ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04.09.2008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"consultantplus://offline/ref=E4DAE44208943FDB2142810BAA54F6578D8C70EECA35C15A9CD7656C1A3F7863538F1CD2D2939390E79EDC96AC963A6D359A1D08295493DCE3E371NAJAK"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185-ОЗ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,</w:t>
            </w:r>
          </w:p>
          <w:p w14:paraId="1C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от 26.12.2008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"consultantplus://offline/ref=E4DAE44208943FDB2142810BAA54F6578D8C70EECA33C65992D7656C1A3F7863538F1CD2D2939390E79EDC96AC963A6D359A1D08295493DCE3E371NAJAK"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299-ОЗ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26.12.2008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"consultantplus://offline/ref=E4DAE44208943FDB2142810BAA54F6578D8C70EECD34C25C97D7656C1A3F7863538F1CD2D2939390E79EDF94AC963A6D359A1D08295493DCE3E371NAJAK"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302-ОЗ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15.11.2010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"consultantplus://offline/ref=E4DAE44208943FDB2142810BAA54F6578D8C70EECD3EC55C94D7656C1A3F7863538F1CD2D2939390E79EDD93AC963A6D359A1D08295493DCE3E371NAJAK"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273-ОЗ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,</w:t>
            </w:r>
          </w:p>
          <w:p w14:paraId="1D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от 22.12.2010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"consultantplus://offline/ref=E4DAE44208943FDB2142810BAA54F6578D8C70EECD3FC55F9CD7656C1A3F7863538F1CD2D2939390E79EDF92AC963A6D359A1D08295493DCE3E371NAJAK"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316-ОЗ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14.06.2011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"consultantplus://offline/ref=E4DAE44208943FDB2142810BAA54F6578D8C70EECC35C25B96D7656C1A3F7863538F1CD2D2939390E79EDD90AC963A6D359A1D08295493DCE3E371NAJAK"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112-ОЗ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11.04.2013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"consultantplus://offline/ref=E4DAE44208943FDB2142810BAA54F6578D8C70EECF3FC05C92D7656C1A3F7863538F1CD2D2939390E79EDC99AC963A6D359A1D08295493DCE3E371NAJAK"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60-ОЗ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,</w:t>
            </w:r>
          </w:p>
          <w:p w14:paraId="1E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от 11.03.2015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"consultantplus://offline/ref=E4DAE44208943FDB2142810BAA54F6578D8C70EEC131C15D9CD7656C1A3F7863538F1CD2D2939390E79EDF92AC963A6D359A1D08295493DCE3E371NAJAK"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19-ОЗ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13.11.2017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"consultantplus://offline/ref=E4DAE44208943FDB2142810BAA54F6578D8C70EEC837C45596D4386612667461548043C5D5DA9F91E79EDC90A5C93F7824C2100A354A90C1FFE173ABN9JFK"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126-ОЗ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, от 04.10.2018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"consultantplus://offline/ref=E4DAE44208943FDB2142810BAA54F6578D8C70EEC835C05B9CD9386612667461548043C5D5DA9F91E79EDC93A5C93F7824C2100A354A90C1FFE173ABN9JFK"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105-ОЗ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,</w:t>
            </w:r>
          </w:p>
          <w:p w14:paraId="1F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от 28.12.2022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"consultantplus://offline/ref=E4DAE44208943FDB2142810BAA54F6578D8C70EEC830C95590DA386612667461548043C5D5DA9F91E79EDC91AFC93F7824C2100A354A90C1FFE173ABN9JFK"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N 149-ОЗ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,</w:t>
            </w:r>
          </w:p>
          <w:p w14:paraId="20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с изм., внесенными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"consultantplus://offline/ref=E4DAE44208943FDB2142810BAA54F6578D8C70EECF37C05B95D7656C1A3F7863538F1CD2D2939390E79EDE98AC963A6D359A1D08295493DCE3E371NAJAK"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решением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 Томского областного суда</w:t>
            </w:r>
          </w:p>
          <w:p w14:paraId="21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>от 27.11.2007 N 3-39)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2000000">
            <w:pPr>
              <w:widowControl w:val="0"/>
              <w:ind w:firstLine="0" w:left="0"/>
              <w:jc w:val="center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</w:p>
        </w:tc>
      </w:tr>
    </w:tbl>
    <w:p w14:paraId="23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4000000">
      <w:pPr>
        <w:widowControl w:val="0"/>
        <w:ind w:firstLine="540" w:left="0"/>
        <w:jc w:val="both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1. Предмет регулирования настоящего Закона</w:t>
      </w:r>
    </w:p>
    <w:p w14:paraId="25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6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Настоящий Закон устанавливает меры социальной поддержки ветеранов труда, ветеранов военной службы, тружеников тыла, реабилитированных лиц и лиц, признанных пострадавшими от политических репрессий, проживающих на территории Томской области.</w:t>
      </w:r>
    </w:p>
    <w:p w14:paraId="27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"consultantplus://offline/ref=E4DAE44208943FDB2142810BAA54F6578D8C70EEC131C15D9CD7656C1A3F7863538F1CD2D2939390E79EDF95AC963A6D359A1D08295493DCE3E371NAJAK"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Закона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11.03.2015 N 19-ОЗ)</w:t>
      </w:r>
    </w:p>
    <w:p w14:paraId="28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9000000">
      <w:pPr>
        <w:widowControl w:val="0"/>
        <w:ind w:firstLine="540" w:left="0"/>
        <w:jc w:val="both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bookmarkStart w:id="1" w:name="Par34"/>
      <w:bookmarkEnd w:id="1"/>
      <w:r>
        <w:rPr>
          <w:rFonts w:ascii="Arial" w:hAnsi="Arial"/>
          <w:b w:val="1"/>
          <w:i w:val="0"/>
          <w:strike w:val="0"/>
          <w:sz w:val="16"/>
          <w:u w:val="none"/>
        </w:rPr>
        <w:t>Статья 2. Категории граждан, имеющие право на получение мер социальной поддержки</w:t>
      </w:r>
    </w:p>
    <w:p w14:paraId="2A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B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Право на получение мер социальной поддержки, установленных настоящим Законом, имеют следующие категории граждан:</w:t>
      </w:r>
    </w:p>
    <w:p w14:paraId="2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1) граждане, проработавшие в тылу в период с 22 июня 1941 года по 9 мая 1945 года не менее 6 месяцев, исключая период работы на временно оккупированных территориях СССР; граждане, награжденные орденами или медалями СССР за самоотверженный труд в период Великой Отечественной войны;</w:t>
      </w:r>
    </w:p>
    <w:p w14:paraId="2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2) ветераны труда, ветераны военной службы;</w:t>
      </w:r>
    </w:p>
    <w:p w14:paraId="2E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"consultantplus://offline/ref=E4DAE44208943FDB2142810BAA54F6578D8C70EEC131C15D9CD7656C1A3F7863538F1CD2D2939390E79EDF97AC963A6D359A1D08295493DCE3E371NAJAK"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Закона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11.03.2015 N 19-ОЗ)</w:t>
      </w:r>
    </w:p>
    <w:p w14:paraId="2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3) реабилитированные лица и лица, признанные пострадавшими от политических репрессий;</w:t>
      </w:r>
    </w:p>
    <w:p w14:paraId="3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4) утратил силу. -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"consultantplus://offline/ref=E4DAE44208943FDB2142810BAA54F6578D8C70EEC131C15D9CD7656C1A3F7863538F1CD2D2939390E79EDF96AC963A6D359A1D08295493DCE3E371NAJAK"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11.03.2015 N 19-ОЗ.</w:t>
      </w:r>
    </w:p>
    <w:p w14:paraId="31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32000000">
      <w:pPr>
        <w:widowControl w:val="0"/>
        <w:ind w:firstLine="540" w:left="0"/>
        <w:jc w:val="both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3. Меры социальной поддержки граждан, проработавших в тылу в период с 22 июня 1941 года по 9 мая 1945 года не менее 6 месяцев, исключая период работы на временно оккупированных территориях СССР, и гражданам, награжденным орденами или медалями СССР за самоотверженный труд в период Великой Отечественной войны</w:t>
      </w:r>
    </w:p>
    <w:p w14:paraId="33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34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Гражданам, проработавшим в тылу в период с 22 июня 1941 года по 9 мая 1945 года не менее 6 месяцев, исключая период работы на временно оккупированных территориях СССР; гражданам, награжденным орденами или медалями СССР за самоотверженный труд в период Великой Отечественной войны, устанавливается ежемесячная денежная выплата в размере 780 рублей на одного получателя.</w:t>
      </w:r>
    </w:p>
    <w:p w14:paraId="35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Законов Томской области от 20.01.2005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"consultantplus://offline/ref=E4DAE44208943FDB2142810BAA54F6578D8C70EEC833C35F93D7656C1A3F7863538F1CD2D2939390E79EDC99AC963A6D359A1D08295493DCE3E371NAJAK"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15-ОЗ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28.12.2022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"consultantplus://offline/ref=E4DAE44208943FDB2142810BAA54F6578D8C70EEC830C95590DA386612667461548043C5D5DA9F91E79EDC91AEC93F7824C2100A354A90C1FFE173ABN9JFK"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149-ОЗ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)</w:t>
      </w:r>
    </w:p>
    <w:p w14:paraId="36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37000000">
      <w:pPr>
        <w:widowControl w:val="0"/>
        <w:ind w:firstLine="540" w:left="0"/>
        <w:jc w:val="both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4. Меры социальной поддержки ветеранов труда</w:t>
      </w:r>
    </w:p>
    <w:p w14:paraId="38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tbl>
      <w:tblPr>
        <w:tblStyle w:val="Style_1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9000000">
            <w:pPr>
              <w:widowControl w:val="0"/>
              <w:ind w:firstLine="0" w:left="0"/>
              <w:jc w:val="both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A000000">
            <w:pPr>
              <w:widowControl w:val="0"/>
              <w:ind w:firstLine="0" w:left="0"/>
              <w:jc w:val="both"/>
              <w:rPr>
                <w:rFonts w:ascii="Arial" w:hAnsi="Arial"/>
                <w:b w:val="0"/>
                <w:i w:val="0"/>
                <w:strike w:val="0"/>
                <w:sz w:val="16"/>
                <w:u w:val="none"/>
              </w:rPr>
            </w:pPr>
          </w:p>
        </w:tc>
        <w:tc>
          <w:tcPr>
            <w:tcW w:type="dxa" w:w="9069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3B000000">
            <w:pPr>
              <w:widowControl w:val="0"/>
              <w:ind w:firstLine="0" w:left="0"/>
              <w:jc w:val="both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"consultantplus://offline/ref=E4DAE44208943FDB2142810BAA54F6578D8C70EEC835C05B9CD9386612667461548043C5D5DA9F91E79EDC93A5C93F7824C2100A354A90C1FFE173ABN9JFK"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Законом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 Томской области от 04.10.2018 N 105-ОЗ в абзац первый статьи 4 внесены изменения, которые 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begin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instrText>HYPERLINK "consultantplus://offline/ref=E4DAE44208943FDB2142810BAA54F6578D8C70EEC835C05B9CD9386612667461548043C5D5DA9F91E79EDC97AFC93F7824C2100A354A90C1FFE173ABN9JFK"</w:instrTex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t>действуют</w:t>
            </w:r>
            <w:r>
              <w:rPr>
                <w:rFonts w:ascii="Arial" w:hAnsi="Arial"/>
                <w:b w:val="0"/>
                <w:i w:val="0"/>
                <w:strike w:val="0"/>
                <w:color w:val="0000FF"/>
                <w:sz w:val="16"/>
                <w:u w:val="none"/>
              </w:rPr>
              <w:fldChar w:fldCharType="end"/>
            </w:r>
            <w:r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  <w:t xml:space="preserve"> до 31 декабря 2028 года.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C000000">
            <w:pPr>
              <w:widowControl w:val="0"/>
              <w:ind w:firstLine="0" w:left="0"/>
              <w:jc w:val="both"/>
              <w:rPr>
                <w:rFonts w:ascii="Arial" w:hAnsi="Arial"/>
                <w:b w:val="0"/>
                <w:i w:val="0"/>
                <w:strike w:val="0"/>
                <w:color w:val="392C69"/>
                <w:sz w:val="16"/>
                <w:u w:val="none"/>
              </w:rPr>
            </w:pPr>
          </w:p>
        </w:tc>
      </w:tr>
    </w:tbl>
    <w:p w14:paraId="3D000000">
      <w:pPr>
        <w:widowControl w:val="0"/>
        <w:spacing w:before="20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Граждане, имеющие звание "Ветеран труда", после назначения им пенсии в соответствии с Федеральным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"consultantplus://offline/ref=E4DAE44208943FDB21429F06BC38A85388852EEBC834CB0AC8883E314D36723406C01D9C969C8C90E480DE91A5NCJ1K"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28 декабря 2013 года N 400-ФЗ "О страховых пенсиях" (до 1 января 2015 года - в соответствии с Федеральным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"consultantplus://offline/ref=E4DAE44208943FDB21429F06BC38A8538F802EE1C935CB0AC8883E314D36723406C01D9C969C8C90E480DE91A5NCJ1K"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17 декабря 2001 года N 173-ФЗ "О трудовых пенсиях в Российской Федерации"), граждане, имеющие звание "Ветеран труда", получающие пенсию по иным основаниям или пожизненное содержание, при достижении ими возраста, дающего право на страховую пенсию по старости в соответствии с Федеральным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"consultantplus://offline/ref=E4DAE44208943FDB21429F06BC38A85388852EEBC834CB0AC8883E314D36723406C01D9C969C8C90E480DE91A5NCJ1K"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28 декабря 2013 года N 400-ФЗ "О страховых пенсиях" (до 1 января 2015 года - на пенсию по старости в соответствии с Федеральным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"consultantplus://offline/ref=E4DAE44208943FDB21429F06BC38A8538F802EE1C935CB0AC8883E314D36723406C01D9C969C8C90E480DE91A5NCJ1K"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от 17 декабря 2001 года N 173-ФЗ "О трудовых пенсиях в Российской Федерации"), а также граждане, имеющие звания "Ветеран труда", "Ветеран военной службы", по достижении ими возраста 60 и 55 лет (соответственно мужчины и женщины), независимо от прекращения трудовой деятельности имеют право на следующие меры социальной поддержки:</w:t>
      </w:r>
    </w:p>
    <w:p w14:paraId="3E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Законов Томской области от 11.03.2015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"consultantplus://offline/ref=E4DAE44208943FDB2142810BAA54F6578D8C70EEC131C15D9CD7656C1A3F7863538F1CD2D2939390E79EDF99AC963A6D359A1D08295493DCE3E371NAJAK"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19-ОЗ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04.10.2018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"consultantplus://offline/ref=E4DAE44208943FDB2142810BAA54F6578D8C70EEC835C05B9CD9386612667461548043C5D5DA9F91E79EDC93A5C93F7824C2100A354A90C1FFE173ABN9JFK"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105-ОЗ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)</w:t>
      </w:r>
    </w:p>
    <w:p w14:paraId="3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1) ежемесячную денежную выплату на оплату жилого помещения и коммунальных услуг в размере 50 процентов регионального стандарта стоимости жилищно-коммунальных услуг, устанавливаемого Администрацией Томской области.</w:t>
      </w:r>
    </w:p>
    <w:p w14:paraId="4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Ежемесячная денежная выплата на оплату жилого помещения предоставляется с учетом нетрудоспособных членов семьи ветерана труда, ветерана военной службы, совместно с ним проживающих и находящихся на его полном иждивении.</w:t>
      </w:r>
    </w:p>
    <w:p w14:paraId="4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Ветераны труда, ветераны военной службы имеют право на предоставление компенсационной доплаты, в случае если совокупный объем денежного эквивалента скидки в размере 50 процентов стоимости жилого помещения (исходя из регионального стандарта нормативной площади жилого помещения, но не более общей площади жилого помещения) и коммунальных услуг (исходя из установленных нормативов потребления, но не свыше фактического объема потребленной услуги), отоплению (теплоснабжению) (исходя из нормативов потребления и регионального стандарта нормативной площади жилого помещения) за период с января по июнь и с июля по декабрь включительно превышает совокупный размер ежемесячной денежной выплаты за соответствующий период.</w:t>
      </w:r>
    </w:p>
    <w:p w14:paraId="4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 случае применения повышающих коэффициентов к нормативам потребления коммунальных услуг, установленных Правительством Российской Федерации, компенсационная доплата рассчитывается без учета указанных повышающих коэффициентов.</w:t>
      </w:r>
    </w:p>
    <w:p w14:paraId="43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(абзац введен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"consultantplus://offline/ref=E4DAE44208943FDB2142810BAA54F6578D8C70EEC837C45596D4386612667461548043C5D5DA9F91E79EDC90A3C93F7824C2100A354A90C1FFE173ABN9JFK"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13.11.2017 N 126-ОЗ)</w:t>
      </w:r>
    </w:p>
    <w:p w14:paraId="4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Определение объема расходов на приобретение и доставку твердого топлива определяется расчетным путем с учетом норм потребления и стоимости твердого топлива, регионального стандарта нормативной площади жилого помещения, устанавливаемых Администрацией Томской области.</w:t>
      </w:r>
    </w:p>
    <w:p w14:paraId="4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Определение денежного эквивалента скидки со стоимости жилого помещения указанным лицам производится с учетом нетрудоспособных членов семьи, проживающих совместно и находящиеся на его полном иждивении.</w:t>
      </w:r>
    </w:p>
    <w:p w14:paraId="4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Компенсационная доплата предоставляется гражданам в заявительном порядке.</w:t>
      </w:r>
    </w:p>
    <w:p w14:paraId="47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(п. 1 в ред.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"consultantplus://offline/ref=E4DAE44208943FDB2142810BAA54F6578D8C70EECD3FC55F9CD7656C1A3F7863538F1CD2D2939390E79EDF94AC963A6D359A1D08295493DCE3E371NAJAK"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Закона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22.12.2010 N 316-ОЗ)</w:t>
      </w:r>
    </w:p>
    <w:p w14:paraId="4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2) утратил силу. -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"consultantplus://offline/ref=E4DAE44208943FDB2142810BAA54F6578D8C70EECD3FC55F9CD7656C1A3F7863538F1CD2D2939390E79ED893AC963A6D359A1D08295493DCE3E371NAJAK"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22.12.2010 N 316-ОЗ;</w:t>
      </w:r>
    </w:p>
    <w:p w14:paraId="4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3) ежемесячную денежную выплату в размере 680 рублей на одного получателя.</w:t>
      </w:r>
    </w:p>
    <w:p w14:paraId="4A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Законов Томской области от 20.01.2005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"consultantplus://offline/ref=E4DAE44208943FDB2142810BAA54F6578D8C70EEC833C35F93D7656C1A3F7863538F1CD2D2939390E79EDD90AC963A6D359A1D08295493DCE3E371NAJAK"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15-ОЗ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28.12.2022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"consultantplus://offline/ref=E4DAE44208943FDB2142810BAA54F6578D8C70EEC830C95590DA386612667461548043C5D5DA9F91E79EDC90A7C93F7824C2100A354A90C1FFE173ABN9JFK"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149-ОЗ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)</w:t>
      </w:r>
    </w:p>
    <w:p w14:paraId="4B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4C000000">
      <w:pPr>
        <w:widowControl w:val="0"/>
        <w:ind w:firstLine="540" w:left="0"/>
        <w:jc w:val="both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5. Меры социальной поддержки реабилитированных лиц и лиц, признанных пострадавшими от политических репрессий</w:t>
      </w:r>
    </w:p>
    <w:p w14:paraId="4D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4E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Реабилитированные лица и лица, признанные пострадавшими от политических репрессий, имеют право на следующие меры социальной поддержки:</w:t>
      </w:r>
    </w:p>
    <w:p w14:paraId="4F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"consultantplus://offline/ref=E4DAE44208943FDB2142810BAA54F6578D8C70EECA35C15A9CD7656C1A3F7863538F1CD2D2939390E79EDC98AC963A6D359A1D08295493DCE3E371NAJAK"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Закона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04.09.2008 N 185-ОЗ)</w:t>
      </w:r>
    </w:p>
    <w:p w14:paraId="50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1) ежемесячную денежную выплату на оплату жилого помещения и коммунальных услуг в размере 50 процентов регионального стандарта стоимости жилищно-коммунальных услуг, устанавливаемого Администрацией Томской области, в том числе с учетом совместно проживающих членов семьи.</w:t>
      </w:r>
    </w:p>
    <w:p w14:paraId="5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Реабилитированные лица и лица, признанные пострадавшими от политических репрессий, имеют право на предоставление компенсационной доплаты, в случае если совокупный объем денежного эквивалента скидки в размере 50 процентов стоимости жилого помещения (исходя из регионального стандарта нормативной площади жилого помещения, но не более общей площади жилого помещения) и коммунальных услуг (исходя из установленных нормативов потребления, но не свыше фактического объема потребленной услуги), отоплению (теплоснабжению) (исходя из нормативов потребления и регионального стандарта нормативной площади жилого помещения) за период с января по июнь и с июля по декабрь включительно превышает совокупный размер ежемесячной денежной выплаты за соответствующий период.</w:t>
      </w:r>
    </w:p>
    <w:p w14:paraId="5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 случае применения повышающих коэффициентов к нормативам потребления коммунальных услуг, установленных Правительством Российской Федерации, компенсационная доплата рассчитывается без учета указанных повышающих коэффициентов.</w:t>
      </w:r>
    </w:p>
    <w:p w14:paraId="53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(абзац введен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"consultantplus://offline/ref=E4DAE44208943FDB2142810BAA54F6578D8C70EEC837C45596D4386612667461548043C5D5DA9F91E79EDC90AFC93F7824C2100A354A90C1FFE173ABN9JFK"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13.11.2017 N 126-ОЗ)</w:t>
      </w:r>
    </w:p>
    <w:p w14:paraId="5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Определение объема расходов на приобретение и доставку твердого топлива определяется расчетным путем с учетом норм потребления и стоимости твердого топлива, регионального стандарта нормативной площади жилого помещения, устанавливаемых Администрацией Томской области.</w:t>
      </w:r>
    </w:p>
    <w:p w14:paraId="5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Определение денежного эквивалента скидки со стоимости жилого помещения и коммунальных услуг указанным лицам производится с учетом совместно проживающих членов семьи.</w:t>
      </w:r>
    </w:p>
    <w:p w14:paraId="5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Компенсационная доплата предоставляется гражданам в заявительном порядке.</w:t>
      </w:r>
    </w:p>
    <w:p w14:paraId="57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(п. 1 в ред.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"consultantplus://offline/ref=E4DAE44208943FDB2142810BAA54F6578D8C70EECD3FC55F9CD7656C1A3F7863538F1CD2D2939390E79ED894AC963A6D359A1D08295493DCE3E371NAJAK"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Закона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22.12.2010 N 316-ОЗ)</w:t>
      </w:r>
    </w:p>
    <w:p w14:paraId="5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2) утратил силу. -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"consultantplus://offline/ref=E4DAE44208943FDB2142810BAA54F6578D8C70EECD3FC55F9CD7656C1A3F7863538F1CD2D2939390E79ED990AC963A6D359A1D08295493DCE3E371NAJAK"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22.12.2010 N 316-ОЗ;</w:t>
      </w:r>
    </w:p>
    <w:p w14:paraId="5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3) ежемесячную денежную выплату в размере 580 рублей на одного получателя.</w:t>
      </w:r>
    </w:p>
    <w:p w14:paraId="5A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Законов Томской области от 20.01.2005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"consultantplus://offline/ref=E4DAE44208943FDB2142810BAA54F6578D8C70EEC833C35F93D7656C1A3F7863538F1CD2D2939390E79EDD93AC963A6D359A1D08295493DCE3E371NAJAK"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15-ОЗ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28.12.2022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"consultantplus://offline/ref=E4DAE44208943FDB2142810BAA54F6578D8C70EEC830C95590DA386612667461548043C5D5DA9F91E79EDC90A6C93F7824C2100A354A90C1FFE173ABN9JFK"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149-ОЗ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)</w:t>
      </w:r>
    </w:p>
    <w:p w14:paraId="5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4) внеочередное оказание медицинской помощи;</w:t>
      </w:r>
    </w:p>
    <w:p w14:paraId="5C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(п. 4 введен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"consultantplus://offline/ref=E4DAE44208943FDB2142810BAA54F6578D8C70EECB36C45492D7656C1A3F7863538F1CD2D2939390E79EDE95AC963A6D359A1D08295493DCE3E371NAJAK"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10.04.2006 N 56-ОЗ)</w:t>
      </w:r>
    </w:p>
    <w:p w14:paraId="5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5) первоочередную установку телефона;</w:t>
      </w:r>
    </w:p>
    <w:p w14:paraId="5E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(п. 5 введен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"consultantplus://offline/ref=E4DAE44208943FDB2142810BAA54F6578D8C70EECB36C45492D7656C1A3F7863538F1CD2D2939390E79EDE95AC963A6D359A1D08295493DCE3E371NAJAK"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10.04.2006 N 56-ОЗ)</w:t>
      </w:r>
    </w:p>
    <w:p w14:paraId="5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6) первоочередное вступление в садоводческие товарищества и жилищно-строительные кооперативы;</w:t>
      </w:r>
      <w:r>
        <w:t>уполномоченным учреждением и</w:t>
      </w:r>
    </w:p>
    <w:p w14:paraId="60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(п. 6 введен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"consultantplus://offline/ref=E4DAE44208943FDB2142810BAA54F6578D8C70EECB36C45492D7656C1A3F7863538F1CD2D2939390E79EDE95AC963A6D359A1D08295493DCE3E371NAJAK"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10.04.2006 N 56-ОЗ)</w:t>
      </w:r>
    </w:p>
    <w:p w14:paraId="6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7) внеочередной прием в дома-интернаты для престарелых и инвалидов, проживание в них на полном государственном обеспечении с выплатой не менее 25 процентов назначенной пенсии.</w:t>
      </w:r>
    </w:p>
    <w:p w14:paraId="62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(п. 7 введен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"consultantplus://offline/ref=E4DAE44208943FDB2142810BAA54F6578D8C70EECB36C45492D7656C1A3F7863538F1CD2D2939390E79EDE95AC963A6D359A1D08295493DCE3E371NAJAK"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10.04.2006 N 56-ОЗ)</w:t>
      </w:r>
    </w:p>
    <w:p w14:paraId="6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2. Утратила силу. -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"consultantplus://offline/ref=E4DAE44208943FDB2142810BAA54F6578D8C70EECD3FC55F9CD7656C1A3F7863538F1CD2D2939390E79ED993AC963A6D359A1D08295493DCE3E371NAJAK"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22.12.2010 N 316-ОЗ.</w:t>
      </w:r>
    </w:p>
    <w:p w14:paraId="64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5000000">
      <w:pPr>
        <w:widowControl w:val="0"/>
        <w:ind w:firstLine="540" w:left="0"/>
        <w:jc w:val="both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 xml:space="preserve">Статья 6. Утратила силу. - </w:t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instrText>HYPERLINK "consultantplus://offline/ref=E4DAE44208943FDB2142810BAA54F6578D8C70EECF3FC05C92D7656C1A3F7863538F1CD2D2939390E79EDC98AC963A6D359A1D08295493DCE3E371NAJAK"</w:instrText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1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1"/>
          <w:i w:val="0"/>
          <w:strike w:val="0"/>
          <w:sz w:val="16"/>
          <w:u w:val="none"/>
        </w:rPr>
        <w:t xml:space="preserve"> Томской области от 11.04.2013 N 60-ОЗ.</w:t>
      </w:r>
    </w:p>
    <w:p w14:paraId="66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7000000">
      <w:pPr>
        <w:widowControl w:val="0"/>
        <w:ind w:firstLine="540" w:left="0"/>
        <w:jc w:val="both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7. Порядок предоставления мер социальной поддержки отдельным категориям граждан</w:t>
      </w:r>
    </w:p>
    <w:p w14:paraId="68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69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1. При наличии у граждан права на получение мер социальной поддержки по двум и более основаниям, предусмотренным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"Par34"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статьей 2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настоящего Закона, а также иными федеральными и областными нормативными правовыми актами, меры социальной поддержки предоставляются по одному из оснований по выбору гражданина.</w:t>
      </w:r>
    </w:p>
    <w:p w14:paraId="6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1-1. Размер ежемесячной денежной выплаты не должен превышать регионального стандарта стоимости жилищно-коммунальных услуг, устанавливаемого Администрацией Томской области, рассчитанного на фактически занимаемую площадь жилого помещения.</w:t>
      </w:r>
    </w:p>
    <w:p w14:paraId="6B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(часть 1-1 введена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"consultantplus://offline/ref=E4DAE44208943FDB2142810BAA54F6578D8C70EECC35C25B96D7656C1A3F7863538F1CD2D2939390E79EDD90AC963A6D359A1D08295493DCE3E371NAJAK"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Законом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14.06.2011 N 112-ОЗ)</w:t>
      </w:r>
    </w:p>
    <w:p w14:paraId="6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2. Денежные выплаты, установленные настоящим Законом, производятся ежемесячно, по месту жительства (пребывания) гражданина на основании его заявления и документов, подтверждающих принадлежность к категориям, указанным 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"Par34"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статье 2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настоящего Закона.</w:t>
      </w:r>
    </w:p>
    <w:p w14:paraId="6D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Законов Томской области от 11.04.2013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"consultantplus://offline/ref=E4DAE44208943FDB2142810BAA54F6578D8C70EECF3FC05C92D7656C1A3F7863538F1CD2D2939390E79EDD91AC963A6D359A1D08295493DCE3E371NAJAK"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60-ОЗ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11.03.2015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"consultantplus://offline/ref=E4DAE44208943FDB2142810BAA54F6578D8C70EEC131C15D9CD7656C1A3F7863538F1CD2D2939390E79ED891AC963A6D359A1D08295493DCE3E371NAJAK"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19-ОЗ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)</w:t>
      </w:r>
    </w:p>
    <w:p w14:paraId="6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3. Порядок предоставления мер социальной поддержки, установленных настоящим Законом, определяется Администрацией Томской области.</w:t>
      </w:r>
    </w:p>
    <w:p w14:paraId="6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4. Утратила силу. -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"consultantplus://offline/ref=E4DAE44208943FDB2142810BAA54F6578D8C70EECB36C45492D7656C1A3F7863538F1CD2D2939390E79EDF97AC963A6D359A1D08295493DCE3E371NAJAK"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10.04.2006 N 56-ОЗ.</w:t>
      </w:r>
    </w:p>
    <w:p w14:paraId="70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1000000">
      <w:pPr>
        <w:widowControl w:val="0"/>
        <w:ind w:firstLine="540" w:left="0"/>
        <w:jc w:val="both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8. Финансирование мер социальной поддержки</w:t>
      </w:r>
    </w:p>
    <w:p w14:paraId="72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3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Финансирование расходов на предоставление мер социальной поддержки, в том числе расходов на доставку ежемесячных денежных выплат, установленных настоящим Законом, осуществляется за счет средств областного бюджета в объеме, предусмотренном законом об областном бюджете на очередной финансовый год и на плановый период.</w:t>
      </w:r>
    </w:p>
    <w:p w14:paraId="74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Законов Томской области от 10.04.2006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"consultantplus://offline/ref=E4DAE44208943FDB2142810BAA54F6578D8C70EECB36C45492D7656C1A3F7863538F1CD2D2939390E79EDF96AC963A6D359A1D08295493DCE3E371NAJAK"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56-ОЗ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26.12.2008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"consultantplus://offline/ref=E4DAE44208943FDB2142810BAA54F6578D8C70EECA33C65992D7656C1A3F7863538F1CD2D2939390E79EDD91AC963A6D359A1D08295493DCE3E371NAJAK"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299-ОЗ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26.12.2008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"consultantplus://offline/ref=E4DAE44208943FDB2142810BAA54F6578D8C70EECD34C25C97D7656C1A3F7863538F1CD2D2939390E79EDA90AC963A6D359A1D08295493DCE3E371NAJAK"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302-ОЗ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22.12.2010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"consultantplus://offline/ref=E4DAE44208943FDB2142810BAA54F6578D8C70EECD3FC55F9CD7656C1A3F7863538F1CD2D2939390E79EDA90AC963A6D359A1D08295493DCE3E371NAJAK"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316-ОЗ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)</w:t>
      </w:r>
    </w:p>
    <w:p w14:paraId="75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6000000">
      <w:pPr>
        <w:widowControl w:val="0"/>
        <w:ind w:firstLine="540" w:left="0"/>
        <w:jc w:val="both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Статья 9. Заключительные положения</w:t>
      </w:r>
    </w:p>
    <w:p w14:paraId="77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8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1. Настоящий Закон вступает в силу с 1 января 2005 года, но не ранее чем по истечении 10 дней со дня его официального опубликования.</w:t>
      </w:r>
    </w:p>
    <w:p w14:paraId="79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(в ред. Законов Томской области от 06.12.2005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"consultantplus://offline/ref=E4DAE44208943FDB2142810BAA54F6578D8C70EEC83EC3549DD7656C1A3F7863538F1CD2D2939390E79EDC98AC963A6D359A1D08295493DCE3E371NAJAK"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219-ОЗ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12.12.2006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"consultantplus://offline/ref=E4DAE44208943FDB2142810BAA54F6578D8C70EECE34C0589CD7656C1A3F7863538F1CD2D2939390E79EDC96AC963A6D359A1D08295493DCE3E371NAJAK"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312-ОЗ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17.12.2007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"consultantplus://offline/ref=E4DAE44208943FDB2142810BAA54F6578D8C70EECB3FC15895D7656C1A3F7863538F1CD2D2939390E79EDC96AC963A6D359A1D08295493DCE3E371NAJAK"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284-ОЗ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от 04.09.2008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"consultantplus://offline/ref=E4DAE44208943FDB2142810BAA54F6578D8C70EECA35C15A9CD7656C1A3F7863538F1CD2D2939390E79EDD91AC963A6D359A1D08295493DCE3E371NAJAK"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N 185-ОЗ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)</w:t>
      </w:r>
    </w:p>
    <w:p w14:paraId="7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2. Администрации Томской области привести свои нормативные правовые акты в соответствие с настоящим Законом в течение месяца со дня вступления его в силу, исключив механизм расчета с выделением доли получателя.</w:t>
      </w:r>
    </w:p>
    <w:p w14:paraId="7B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(часть 2 в ред.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"consultantplus://offline/ref=E4DAE44208943FDB2142810BAA54F6578D8C70EEC830C75F92D7656C1A3F7863538F1CD2D2939390E79EDD97AC963A6D359A1D08295493DCE3E371NAJAK"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Закона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Томской области от 16.08.2005 N 136-ОЗ)</w:t>
      </w:r>
    </w:p>
    <w:p w14:paraId="7C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7D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Глава Администрации</w:t>
      </w:r>
    </w:p>
    <w:p w14:paraId="7E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(Губернатор)</w:t>
      </w:r>
    </w:p>
    <w:p w14:paraId="7F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Томской области</w:t>
      </w:r>
    </w:p>
    <w:p w14:paraId="80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В.М.КРЕСС</w:t>
      </w:r>
    </w:p>
    <w:p w14:paraId="81000000">
      <w:pPr>
        <w:widowControl w:val="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Томск</w:t>
      </w:r>
    </w:p>
    <w:p w14:paraId="82000000">
      <w:pPr>
        <w:widowControl w:val="0"/>
        <w:spacing w:before="16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16 декабря 2004 года</w:t>
      </w:r>
    </w:p>
    <w:p w14:paraId="83000000">
      <w:pPr>
        <w:widowControl w:val="0"/>
        <w:spacing w:before="160"/>
        <w:ind w:firstLine="0" w:left="0"/>
        <w:jc w:val="lef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N 254-ОЗ</w:t>
      </w:r>
    </w:p>
    <w:p w14:paraId="84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85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86000000">
      <w:pPr>
        <w:widowControl w:val="0"/>
        <w:spacing w:after="100" w:before="100"/>
        <w:ind w:firstLine="0" w:left="0"/>
        <w:jc w:val="both"/>
        <w:rPr>
          <w:rFonts w:ascii="Arial" w:hAnsi="Arial"/>
          <w:b w:val="0"/>
          <w:i w:val="0"/>
          <w:strike w:val="0"/>
          <w:sz w:val="2"/>
          <w:u w:val="none"/>
        </w:rPr>
      </w:pPr>
    </w:p>
    <w:sectPr>
      <w:type w:val="nextPage"/>
      <w:pgSz w:h="16838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Normal"/>
    <w:link w:val="Style_9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9_ch" w:type="character">
    <w:name w:val="ConsPlusNormal"/>
    <w:link w:val="Style_9"/>
    <w:rPr>
      <w:rFonts w:ascii="Arial" w:hAnsi="Arial"/>
      <w:b w:val="0"/>
      <w:i w:val="0"/>
      <w:strike w:val="0"/>
      <w:sz w:val="16"/>
      <w:u w:val="none"/>
    </w:rPr>
  </w:style>
  <w:style w:styleId="Style_10" w:type="paragraph">
    <w:name w:val="ConsPlusTextList_0"/>
    <w:link w:val="Style_10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0_ch" w:type="character">
    <w:name w:val="ConsPlusTextList_0"/>
    <w:link w:val="Style_10"/>
    <w:rPr>
      <w:rFonts w:ascii="Arial" w:hAnsi="Arial"/>
      <w:b w:val="0"/>
      <w:i w:val="0"/>
      <w:strike w:val="0"/>
      <w:sz w:val="20"/>
      <w:u w:val="none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Cell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heading 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15_ch" w:type="character">
    <w:name w:val="ConsPlusTitle"/>
    <w:link w:val="Style_15"/>
    <w:rPr>
      <w:rFonts w:ascii="Arial" w:hAnsi="Arial"/>
      <w:b w:val="1"/>
      <w:i w:val="0"/>
      <w:strike w:val="0"/>
      <w:sz w:val="16"/>
      <w:u w:val="none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ConsPlusTitlePage"/>
    <w:link w:val="Style_19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9_ch" w:type="character">
    <w:name w:val="ConsPlusTitlePage"/>
    <w:link w:val="Style_19"/>
    <w:rPr>
      <w:rFonts w:ascii="Tahoma" w:hAnsi="Tahoma"/>
      <w:b w:val="0"/>
      <w:i w:val="0"/>
      <w:strike w:val="0"/>
      <w:sz w:val="16"/>
      <w:u w:val="none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JurTerm"/>
    <w:link w:val="Style_21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21_ch" w:type="character">
    <w:name w:val="ConsPlusJurTerm"/>
    <w:link w:val="Style_21"/>
    <w:rPr>
      <w:rFonts w:ascii="Tahoma" w:hAnsi="Tahoma"/>
      <w:b w:val="0"/>
      <w:i w:val="0"/>
      <w:strike w:val="0"/>
      <w:sz w:val="26"/>
      <w:u w:val="none"/>
    </w:rPr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3_ch" w:type="character">
    <w:name w:val="ConsPlusNonformat"/>
    <w:link w:val="Style_23"/>
    <w:rPr>
      <w:rFonts w:ascii="Courier New" w:hAnsi="Courier New"/>
      <w:b w:val="0"/>
      <w:i w:val="0"/>
      <w:strike w:val="0"/>
      <w:sz w:val="20"/>
      <w:u w:val="none"/>
    </w:rPr>
  </w:style>
  <w:style w:styleId="Style_24" w:type="paragraph">
    <w:name w:val="toc 8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ConsPlusDocList"/>
    <w:link w:val="Style_26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26_ch" w:type="character">
    <w:name w:val="ConsPlusDocList"/>
    <w:link w:val="Style_26"/>
    <w:rPr>
      <w:rFonts w:ascii="Courier New" w:hAnsi="Courier New"/>
      <w:b w:val="0"/>
      <w:i w:val="0"/>
      <w:strike w:val="0"/>
      <w:sz w:val="16"/>
      <w:u w:val="none"/>
    </w:rPr>
  </w:style>
  <w:style w:styleId="Style_27" w:type="paragraph">
    <w:name w:val="Subtitle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ConsPlusTextList"/>
    <w:link w:val="Style_32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32_ch" w:type="character">
    <w:name w:val="ConsPlusTextList"/>
    <w:link w:val="Style_32"/>
    <w:rPr>
      <w:rFonts w:ascii="Arial" w:hAnsi="Arial"/>
      <w:b w:val="0"/>
      <w:i w:val="0"/>
      <w:strike w:val="0"/>
      <w:sz w:val="20"/>
      <w:u w:val="non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